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6E668" w14:textId="2D4115D6" w:rsidR="00BA0F1D" w:rsidRPr="00B266B0" w:rsidRDefault="00BA0F1D" w:rsidP="00BA0F1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2C312D">
        <w:rPr>
          <w:bCs/>
          <w:noProof w:val="0"/>
          <w:sz w:val="24"/>
          <w:szCs w:val="24"/>
        </w:rPr>
        <w:t>08244</w:t>
      </w:r>
    </w:p>
    <w:p w14:paraId="5271E2A5" w14:textId="2C09893C" w:rsidR="00BA0F1D" w:rsidRPr="00465587" w:rsidRDefault="00BA0F1D" w:rsidP="00BA0F1D">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17</w:t>
      </w:r>
      <w:r w:rsidRPr="005C7CD5">
        <w:rPr>
          <w:rFonts w:eastAsia="SimSun"/>
          <w:bCs/>
          <w:sz w:val="24"/>
          <w:szCs w:val="24"/>
          <w:lang w:eastAsia="zh-CN"/>
        </w:rPr>
        <w:t xml:space="preserve"> – 2</w:t>
      </w:r>
      <w:r>
        <w:rPr>
          <w:rFonts w:eastAsia="SimSun"/>
          <w:bCs/>
          <w:sz w:val="24"/>
          <w:szCs w:val="24"/>
          <w:lang w:eastAsia="zh-CN"/>
        </w:rPr>
        <w:t>6</w:t>
      </w:r>
      <w:r w:rsidRPr="005C7CD5">
        <w:rPr>
          <w:rFonts w:eastAsia="SimSun"/>
          <w:bCs/>
          <w:sz w:val="24"/>
          <w:szCs w:val="24"/>
          <w:lang w:eastAsia="zh-CN"/>
        </w:rPr>
        <w:t xml:space="preserve"> </w:t>
      </w:r>
      <w:r>
        <w:rPr>
          <w:rFonts w:eastAsia="SimSun"/>
          <w:bCs/>
          <w:sz w:val="24"/>
          <w:szCs w:val="24"/>
          <w:lang w:eastAsia="zh-CN"/>
        </w:rPr>
        <w:t>August</w:t>
      </w:r>
      <w:r w:rsidRPr="005C7CD5">
        <w:rPr>
          <w:rFonts w:eastAsia="SimSun"/>
          <w:bCs/>
          <w:sz w:val="24"/>
          <w:szCs w:val="24"/>
          <w:lang w:eastAsia="zh-CN"/>
        </w:rPr>
        <w:t xml:space="preserve"> 2022</w:t>
      </w:r>
      <w:r>
        <w:rPr>
          <w:rFonts w:eastAsia="SimSun"/>
          <w:noProof w:val="0"/>
          <w:sz w:val="24"/>
          <w:szCs w:val="24"/>
          <w:lang w:eastAsia="zh-CN"/>
        </w:rPr>
        <w:tab/>
      </w:r>
      <w:r>
        <w:rPr>
          <w:rFonts w:eastAsia="SimSun"/>
          <w:bCs/>
          <w:i/>
          <w:noProof w:val="0"/>
          <w:sz w:val="24"/>
          <w:szCs w:val="24"/>
          <w:lang w:eastAsia="zh-CN"/>
        </w:rPr>
        <w:t>R2-</w:t>
      </w:r>
      <w:r w:rsidR="002A1E41">
        <w:rPr>
          <w:rFonts w:eastAsia="SimSun"/>
          <w:bCs/>
          <w:i/>
          <w:noProof w:val="0"/>
          <w:sz w:val="24"/>
          <w:szCs w:val="24"/>
          <w:lang w:eastAsia="zh-CN"/>
        </w:rPr>
        <w:t>2</w:t>
      </w:r>
      <w:r w:rsidR="002A1E41">
        <w:rPr>
          <w:rFonts w:eastAsia="SimSun"/>
          <w:bCs/>
          <w:i/>
          <w:noProof w:val="0"/>
          <w:sz w:val="24"/>
          <w:szCs w:val="24"/>
          <w:lang w:eastAsia="zh-CN"/>
        </w:rPr>
        <w:t>1</w:t>
      </w:r>
      <w:r w:rsidR="004E1F1A">
        <w:rPr>
          <w:rFonts w:eastAsia="SimSun"/>
          <w:bCs/>
          <w:i/>
          <w:noProof w:val="0"/>
          <w:sz w:val="24"/>
          <w:szCs w:val="24"/>
          <w:lang w:eastAsia="zh-CN"/>
        </w:rPr>
        <w:t>10715</w:t>
      </w:r>
    </w:p>
    <w:p w14:paraId="7610BCFD" w14:textId="77777777" w:rsidR="00BA0F1D" w:rsidRPr="00B266B0" w:rsidRDefault="00BA0F1D" w:rsidP="00BA0F1D">
      <w:pPr>
        <w:pStyle w:val="Header"/>
        <w:rPr>
          <w:bCs/>
          <w:noProof w:val="0"/>
          <w:sz w:val="24"/>
        </w:rPr>
      </w:pPr>
    </w:p>
    <w:p w14:paraId="2066C1D8" w14:textId="77777777" w:rsidR="00BA0F1D" w:rsidRPr="00B266B0" w:rsidRDefault="00BA0F1D" w:rsidP="00BA0F1D">
      <w:pPr>
        <w:pStyle w:val="Header"/>
        <w:rPr>
          <w:bCs/>
          <w:noProof w:val="0"/>
          <w:sz w:val="24"/>
        </w:rPr>
      </w:pPr>
    </w:p>
    <w:p w14:paraId="21274294" w14:textId="77777777" w:rsidR="00BA0F1D" w:rsidRPr="00B266B0" w:rsidRDefault="00BA0F1D" w:rsidP="00BA0F1D">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8.13.3</w:t>
      </w:r>
    </w:p>
    <w:p w14:paraId="65A3599D" w14:textId="77777777" w:rsidR="00BA0F1D" w:rsidRPr="00B266B0" w:rsidRDefault="00BA0F1D" w:rsidP="00BA0F1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7DF723C" w14:textId="77777777" w:rsidR="00BA0F1D" w:rsidRDefault="00BA0F1D" w:rsidP="00BA0F1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Impact of SNPN on MDT and MRO</w:t>
      </w:r>
    </w:p>
    <w:p w14:paraId="2B057F43" w14:textId="32873A44" w:rsidR="00BA0F1D" w:rsidRPr="00B266B0" w:rsidRDefault="00BA0F1D" w:rsidP="00BA0F1D">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14:paraId="1CDBD706" w14:textId="412505D5" w:rsidR="00BA0F1D" w:rsidRDefault="00BA0F1D" w:rsidP="002C312D">
      <w:pPr>
        <w:tabs>
          <w:tab w:val="left" w:pos="1985"/>
        </w:tabs>
        <w:rPr>
          <w:bCs/>
          <w:sz w:val="24"/>
          <w:szCs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BA0F1D" w:rsidRPr="006E13D1" w:rsidRDefault="00BA0F1D" w:rsidP="00BA0F1D">
      <w:pPr>
        <w:pStyle w:val="Heading1"/>
      </w:pPr>
      <w:r w:rsidRPr="006E13D1">
        <w:t>1</w:t>
      </w:r>
      <w:r w:rsidRPr="006E13D1">
        <w:tab/>
      </w:r>
      <w:r>
        <w:t>Introduction</w:t>
      </w:r>
    </w:p>
    <w:p w14:paraId="4E6F4A07" w14:textId="4EA0A1F5" w:rsidR="00BA0F1D" w:rsidRDefault="00BA0F1D" w:rsidP="00BA0F1D">
      <w:r>
        <w:t xml:space="preserve">The agreed Rel-18 WI on further enhancement for SON/MDT in </w:t>
      </w:r>
      <w:hyperlink r:id="rId12" w:history="1">
        <w:r w:rsidRPr="00B2050F">
          <w:rPr>
            <w:rStyle w:val="Hyperlink"/>
          </w:rPr>
          <w:t>RP-22</w:t>
        </w:r>
        <w:r>
          <w:rPr>
            <w:rStyle w:val="Hyperlink"/>
          </w:rPr>
          <w:t>1825</w:t>
        </w:r>
      </w:hyperlink>
      <w:r>
        <w:t xml:space="preserve"> defines the objective to support data collection for SON/MDT in NPN networks.</w:t>
      </w:r>
    </w:p>
    <w:p w14:paraId="6D57E923" w14:textId="77777777" w:rsidR="00BA0F1D" w:rsidRPr="00B2050F" w:rsidRDefault="00BA0F1D" w:rsidP="00BA0F1D">
      <w:pPr>
        <w:pStyle w:val="paragraph"/>
        <w:spacing w:before="0" w:beforeAutospacing="0" w:after="0" w:afterAutospacing="0"/>
        <w:jc w:val="both"/>
        <w:textAlignment w:val="baseline"/>
        <w:rPr>
          <w:sz w:val="20"/>
          <w:szCs w:val="20"/>
          <w:lang w:eastAsia="en-US"/>
        </w:rPr>
      </w:pPr>
      <w:r w:rsidRPr="00B2050F">
        <w:rPr>
          <w:sz w:val="20"/>
          <w:szCs w:val="20"/>
          <w:lang w:eastAsia="en-US"/>
        </w:rPr>
        <w:t xml:space="preserve">In this contribution we analyse the impact of co-existence of SNPN with NR MDT data collection and propose some </w:t>
      </w:r>
      <w:r w:rsidRPr="00936589">
        <w:rPr>
          <w:sz w:val="20"/>
          <w:szCs w:val="20"/>
          <w:lang w:eastAsia="en-US"/>
        </w:rPr>
        <w:t>areas that are worth considering for improving Logged MDT procedures and report contents in Rel-1</w:t>
      </w:r>
      <w:r>
        <w:rPr>
          <w:sz w:val="20"/>
          <w:szCs w:val="20"/>
          <w:lang w:eastAsia="en-US"/>
        </w:rPr>
        <w:t>8</w:t>
      </w:r>
      <w:r w:rsidRPr="00936589">
        <w:rPr>
          <w:sz w:val="20"/>
          <w:szCs w:val="20"/>
          <w:lang w:eastAsia="en-US"/>
        </w:rPr>
        <w:t>.</w:t>
      </w:r>
      <w:r w:rsidRPr="00B2050F">
        <w:rPr>
          <w:sz w:val="20"/>
          <w:szCs w:val="20"/>
          <w:lang w:eastAsia="en-US"/>
        </w:rPr>
        <w:t xml:space="preserve"> </w:t>
      </w:r>
    </w:p>
    <w:p w14:paraId="19D693C0" w14:textId="0372169D" w:rsidR="00BA0F1D" w:rsidRDefault="00BA0F1D" w:rsidP="00BA0F1D"/>
    <w:p w14:paraId="2BBFF540" w14:textId="3D0C9092" w:rsidR="00BA0F1D" w:rsidRDefault="00BA0F1D" w:rsidP="00BA0F1D">
      <w:pPr>
        <w:pStyle w:val="Heading1"/>
      </w:pPr>
      <w:r w:rsidRPr="006E13D1">
        <w:t>2</w:t>
      </w:r>
      <w:r w:rsidRPr="006E13D1">
        <w:tab/>
      </w:r>
      <w:r>
        <w:t>NR Baseline for PLMN check</w:t>
      </w:r>
    </w:p>
    <w:p w14:paraId="26131273" w14:textId="365915A1" w:rsidR="00BA0F1D" w:rsidRPr="006A4153" w:rsidRDefault="00BA0F1D" w:rsidP="00BA0F1D">
      <w:pPr>
        <w:pStyle w:val="Heading2"/>
      </w:pPr>
      <w:r>
        <w:t>2.1 PLMN storage in MDT reports</w:t>
      </w:r>
    </w:p>
    <w:p w14:paraId="16423A5E" w14:textId="04BF8978" w:rsidR="00BA0F1D" w:rsidRDefault="00BA0F1D" w:rsidP="1D160B56">
      <w:pPr>
        <w:pStyle w:val="paragraph"/>
        <w:spacing w:before="0" w:beforeAutospacing="0" w:after="0" w:afterAutospacing="0"/>
        <w:textAlignment w:val="baseline"/>
        <w:rPr>
          <w:rFonts w:ascii="Segoe UI" w:hAnsi="Segoe UI" w:cs="Segoe UI"/>
          <w:sz w:val="18"/>
          <w:szCs w:val="18"/>
        </w:rPr>
      </w:pPr>
      <w:r w:rsidRPr="1D160B56">
        <w:rPr>
          <w:rStyle w:val="normaltextrun"/>
          <w:sz w:val="20"/>
          <w:szCs w:val="20"/>
        </w:rPr>
        <w:t>In the existing SON/MDT reports, for the following stored data, the PLMN-ID or PLMN-ID list is stored when the data collection begins or when the measurement collection is configured:</w:t>
      </w:r>
      <w:r w:rsidRPr="1D160B56">
        <w:rPr>
          <w:rStyle w:val="eop"/>
          <w:sz w:val="20"/>
          <w:szCs w:val="20"/>
        </w:rPr>
        <w:t> </w:t>
      </w:r>
    </w:p>
    <w:p w14:paraId="05C5D556"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r>
        <w:rPr>
          <w:rStyle w:val="normaltextrun"/>
          <w:i/>
          <w:iCs/>
          <w:sz w:val="20"/>
          <w:szCs w:val="20"/>
        </w:rPr>
        <w:t>VarRLF-Report</w:t>
      </w:r>
      <w:r>
        <w:rPr>
          <w:rStyle w:val="eop"/>
          <w:sz w:val="20"/>
          <w:szCs w:val="20"/>
        </w:rPr>
        <w:t> </w:t>
      </w:r>
    </w:p>
    <w:p w14:paraId="1195E5AA"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r>
        <w:rPr>
          <w:rStyle w:val="normaltextrun"/>
          <w:i/>
          <w:iCs/>
          <w:sz w:val="20"/>
          <w:szCs w:val="20"/>
        </w:rPr>
        <w:t>VarConnEstFailReport</w:t>
      </w:r>
      <w:r>
        <w:rPr>
          <w:rStyle w:val="eop"/>
          <w:sz w:val="20"/>
          <w:szCs w:val="20"/>
        </w:rPr>
        <w:t> </w:t>
      </w:r>
    </w:p>
    <w:p w14:paraId="3E985EAF" w14:textId="77777777" w:rsidR="00BA0F1D" w:rsidRDefault="00BA0F1D" w:rsidP="00BA0F1D">
      <w:pPr>
        <w:pStyle w:val="paragraph"/>
        <w:spacing w:before="0" w:beforeAutospacing="0" w:after="0" w:afterAutospacing="0"/>
        <w:ind w:left="270"/>
        <w:textAlignment w:val="baseline"/>
        <w:rPr>
          <w:rFonts w:ascii="Segoe UI" w:hAnsi="Segoe UI" w:cs="Segoe UI"/>
          <w:sz w:val="18"/>
          <w:szCs w:val="18"/>
        </w:rPr>
      </w:pPr>
      <w:r>
        <w:rPr>
          <w:rStyle w:val="normaltextrun"/>
          <w:i/>
          <w:iCs/>
          <w:sz w:val="20"/>
          <w:szCs w:val="20"/>
        </w:rPr>
        <w:t>-</w:t>
      </w:r>
      <w:r>
        <w:rPr>
          <w:rStyle w:val="tabchar"/>
          <w:rFonts w:ascii="Calibri" w:hAnsi="Calibri" w:cs="Calibri"/>
          <w:sz w:val="20"/>
          <w:szCs w:val="20"/>
        </w:rPr>
        <w:t xml:space="preserve"> </w:t>
      </w:r>
      <w:r>
        <w:rPr>
          <w:rStyle w:val="normaltextrun"/>
          <w:i/>
          <w:iCs/>
          <w:sz w:val="20"/>
          <w:szCs w:val="20"/>
        </w:rPr>
        <w:t>VarLogMeasReport</w:t>
      </w:r>
      <w:r>
        <w:rPr>
          <w:rStyle w:val="eop"/>
          <w:sz w:val="20"/>
          <w:szCs w:val="20"/>
        </w:rPr>
        <w:t> </w:t>
      </w:r>
    </w:p>
    <w:p w14:paraId="1A5D3677" w14:textId="77777777" w:rsidR="00BA0F1D" w:rsidRDefault="00BA0F1D" w:rsidP="00BA0F1D">
      <w:pPr>
        <w:pStyle w:val="paragraph"/>
        <w:spacing w:before="0" w:beforeAutospacing="0" w:after="0" w:afterAutospacing="0"/>
        <w:textAlignment w:val="baseline"/>
        <w:rPr>
          <w:rStyle w:val="normaltextrun"/>
          <w:sz w:val="20"/>
          <w:szCs w:val="20"/>
        </w:rPr>
      </w:pPr>
    </w:p>
    <w:p w14:paraId="767534B1" w14:textId="6FC60290" w:rsidR="00BA0F1D" w:rsidRDefault="00BA0F1D" w:rsidP="00BA0F1D">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For </w:t>
      </w:r>
      <w:r>
        <w:rPr>
          <w:rStyle w:val="normaltextrun"/>
          <w:i/>
          <w:iCs/>
          <w:sz w:val="20"/>
          <w:szCs w:val="20"/>
        </w:rPr>
        <w:t>VarRLF-Report</w:t>
      </w:r>
      <w:r>
        <w:rPr>
          <w:rStyle w:val="normaltextrun"/>
          <w:sz w:val="20"/>
          <w:szCs w:val="20"/>
        </w:rPr>
        <w:t xml:space="preserve"> and </w:t>
      </w:r>
      <w:r>
        <w:rPr>
          <w:rStyle w:val="normaltextrun"/>
          <w:i/>
          <w:iCs/>
          <w:sz w:val="20"/>
          <w:szCs w:val="20"/>
        </w:rPr>
        <w:t xml:space="preserve">VarLogMeasReport, </w:t>
      </w:r>
      <w:r>
        <w:rPr>
          <w:rStyle w:val="normaltextrun"/>
          <w:sz w:val="20"/>
          <w:szCs w:val="20"/>
        </w:rPr>
        <w:t xml:space="preserve">UE stores the current RPLMN and equivalent PLMNs when setting the content of </w:t>
      </w:r>
      <w:r>
        <w:rPr>
          <w:rStyle w:val="normaltextrun"/>
          <w:i/>
          <w:iCs/>
          <w:sz w:val="20"/>
          <w:szCs w:val="20"/>
        </w:rPr>
        <w:t xml:space="preserve">VarRLF-Report </w:t>
      </w:r>
      <w:r>
        <w:rPr>
          <w:rStyle w:val="normaltextrun"/>
          <w:sz w:val="20"/>
          <w:szCs w:val="20"/>
        </w:rPr>
        <w:t>after a Handover. When UE performs logging of MDT data collection in RRC IDLE, it also reads the broadcasted PLMN of the cell on which it camps before logging the measurements.</w:t>
      </w:r>
      <w:r>
        <w:rPr>
          <w:rStyle w:val="eop"/>
          <w:sz w:val="20"/>
          <w:szCs w:val="20"/>
        </w:rPr>
        <w:t> </w:t>
      </w:r>
    </w:p>
    <w:p w14:paraId="4E459F5A" w14:textId="68765305" w:rsidR="00BA0F1D" w:rsidRDefault="00BA0F1D" w:rsidP="00BA0F1D">
      <w:pPr>
        <w:pStyle w:val="paragraph"/>
        <w:spacing w:before="0" w:beforeAutospacing="0" w:after="0" w:afterAutospacing="0"/>
        <w:textAlignment w:val="baseline"/>
        <w:rPr>
          <w:rStyle w:val="normaltextrun"/>
          <w:b/>
          <w:bCs/>
          <w:sz w:val="20"/>
          <w:szCs w:val="20"/>
        </w:rPr>
      </w:pPr>
      <w:r>
        <w:rPr>
          <w:rStyle w:val="normaltextrun"/>
          <w:sz w:val="20"/>
          <w:szCs w:val="20"/>
        </w:rPr>
        <w:t xml:space="preserve">For </w:t>
      </w:r>
      <w:r>
        <w:rPr>
          <w:rStyle w:val="normaltextrun"/>
          <w:i/>
          <w:iCs/>
          <w:sz w:val="20"/>
          <w:szCs w:val="20"/>
        </w:rPr>
        <w:t xml:space="preserve">VarConnEstFailReport, </w:t>
      </w:r>
      <w:r>
        <w:rPr>
          <w:rStyle w:val="normaltextrun"/>
          <w:sz w:val="20"/>
          <w:szCs w:val="20"/>
        </w:rPr>
        <w:t>UE stores the selected PLMN.</w:t>
      </w:r>
      <w:r>
        <w:rPr>
          <w:rStyle w:val="eop"/>
          <w:sz w:val="20"/>
          <w:szCs w:val="20"/>
        </w:rPr>
        <w:t> </w:t>
      </w:r>
    </w:p>
    <w:p w14:paraId="2803D411" w14:textId="19098E70" w:rsidR="00BA0F1D" w:rsidRDefault="00BA0F1D" w:rsidP="00BA0F1D">
      <w:pPr>
        <w:pStyle w:val="paragraph"/>
        <w:spacing w:before="120" w:beforeAutospacing="0" w:after="120" w:afterAutospacing="0"/>
        <w:textAlignment w:val="baseline"/>
        <w:rPr>
          <w:rStyle w:val="eop"/>
          <w:sz w:val="20"/>
          <w:szCs w:val="20"/>
        </w:rPr>
      </w:pPr>
      <w:r>
        <w:rPr>
          <w:rStyle w:val="normaltextrun"/>
          <w:b/>
          <w:bCs/>
          <w:sz w:val="20"/>
          <w:szCs w:val="20"/>
        </w:rPr>
        <w:t xml:space="preserve">Observation 1: </w:t>
      </w:r>
      <w:r>
        <w:rPr>
          <w:rStyle w:val="normaltextrun"/>
          <w:sz w:val="20"/>
          <w:szCs w:val="20"/>
        </w:rPr>
        <w:t>UE stores the PLMN associated with the collected MDT data.</w:t>
      </w:r>
      <w:r>
        <w:rPr>
          <w:rStyle w:val="eop"/>
          <w:sz w:val="20"/>
          <w:szCs w:val="20"/>
        </w:rPr>
        <w:t> </w:t>
      </w:r>
    </w:p>
    <w:p w14:paraId="1EAA1144" w14:textId="590C3CFB" w:rsidR="00BA0F1D" w:rsidRPr="006A4153" w:rsidRDefault="00BA0F1D" w:rsidP="00BA0F1D">
      <w:pPr>
        <w:pStyle w:val="Heading2"/>
      </w:pPr>
      <w:r>
        <w:t>2.2 PLMN check before sending MDT reports</w:t>
      </w:r>
    </w:p>
    <w:p w14:paraId="5FC0ADEE" w14:textId="72265EFA" w:rsidR="00BA0F1D" w:rsidRDefault="00BA0F1D" w:rsidP="00BA0F1D">
      <w:r>
        <w:t xml:space="preserve">When the UE is requested to report some stored information such as logged measurements or RLF report, it first checks if the current PLMN is the same that the one that requested the measurement. </w:t>
      </w:r>
    </w:p>
    <w:p w14:paraId="7DDD6610" w14:textId="77777777" w:rsidR="00BA0F1D" w:rsidRDefault="00BA0F1D" w:rsidP="00BA0F1D">
      <w:pPr>
        <w:jc w:val="both"/>
      </w:pPr>
      <w:r>
        <w:t>The check concerns all the operations related to Logged MDT and RLF report, starting from logging initiation through storage of the data till the eventual reporting (association of the logged data with PLMN id, storing PLMN id, checking PLMN id before data retrieval, sending MDT data only to a RPLMN if it matches with a stored PLMN id).</w:t>
      </w:r>
    </w:p>
    <w:p w14:paraId="1A260C9E" w14:textId="77777777" w:rsidR="00BA0F1D" w:rsidRDefault="00BA0F1D" w:rsidP="00BA0F1D">
      <w:r>
        <w:t xml:space="preserve">In particular, we note that RLF report is a mandatory feature in the UE. </w:t>
      </w:r>
    </w:p>
    <w:p w14:paraId="40BEBDB3" w14:textId="09742A69" w:rsidR="00BA0F1D" w:rsidRPr="00217985" w:rsidRDefault="00BA0F1D" w:rsidP="00BA0F1D">
      <w:pPr>
        <w:rPr>
          <w:bCs/>
        </w:rPr>
      </w:pPr>
      <w:r w:rsidRPr="0096385E">
        <w:rPr>
          <w:b/>
        </w:rPr>
        <w:t xml:space="preserve">Observation </w:t>
      </w:r>
      <w:r>
        <w:rPr>
          <w:b/>
        </w:rPr>
        <w:t>2</w:t>
      </w:r>
      <w:r w:rsidRPr="0096385E">
        <w:rPr>
          <w:b/>
        </w:rPr>
        <w:t xml:space="preserve">: </w:t>
      </w:r>
      <w:r w:rsidRPr="006A4153">
        <w:rPr>
          <w:bCs/>
        </w:rPr>
        <w:t>The</w:t>
      </w:r>
      <w:r>
        <w:rPr>
          <w:b/>
        </w:rPr>
        <w:t xml:space="preserve"> </w:t>
      </w:r>
      <w:r w:rsidRPr="00280BF6">
        <w:rPr>
          <w:bCs/>
        </w:rPr>
        <w:t xml:space="preserve">UE </w:t>
      </w:r>
      <w:r>
        <w:rPr>
          <w:bCs/>
        </w:rPr>
        <w:t>performs the stored</w:t>
      </w:r>
      <w:r w:rsidRPr="00A23503">
        <w:rPr>
          <w:bCs/>
        </w:rPr>
        <w:t xml:space="preserve"> RPLMN </w:t>
      </w:r>
      <w:r>
        <w:rPr>
          <w:bCs/>
        </w:rPr>
        <w:t xml:space="preserve">check </w:t>
      </w:r>
      <w:r w:rsidRPr="00A23503">
        <w:rPr>
          <w:bCs/>
        </w:rPr>
        <w:t>when initiating sending the stored MDT data to avoid sending MDT data to wrong PLMN</w:t>
      </w:r>
      <w:r>
        <w:rPr>
          <w:bCs/>
        </w:rPr>
        <w:t xml:space="preserve"> (</w:t>
      </w:r>
      <w:r w:rsidRPr="00280BF6">
        <w:rPr>
          <w:bCs/>
        </w:rPr>
        <w:t>mandatorily</w:t>
      </w:r>
      <w:r>
        <w:rPr>
          <w:bCs/>
        </w:rPr>
        <w:t xml:space="preserve"> for RLFreport).</w:t>
      </w:r>
    </w:p>
    <w:p w14:paraId="367F5B66" w14:textId="77777777" w:rsidR="00BA0F1D" w:rsidRDefault="00BA0F1D" w:rsidP="00BA0F1D">
      <w:pPr>
        <w:pStyle w:val="Heading1"/>
      </w:pPr>
      <w:r w:rsidRPr="006E13D1">
        <w:lastRenderedPageBreak/>
        <w:t>3</w:t>
      </w:r>
      <w:r w:rsidRPr="006E13D1">
        <w:tab/>
      </w:r>
      <w:r>
        <w:t>SNPN impact on PLMN check for MDT</w:t>
      </w:r>
    </w:p>
    <w:p w14:paraId="4EE23B09" w14:textId="77777777" w:rsidR="00BA0F1D" w:rsidRDefault="00BA0F1D" w:rsidP="00BA0F1D">
      <w:pPr>
        <w:pStyle w:val="Heading2"/>
      </w:pPr>
      <w:r>
        <w:t>3.1 SNPN check for MDT reports</w:t>
      </w:r>
    </w:p>
    <w:p w14:paraId="57FFA016" w14:textId="77777777" w:rsidR="00BA0F1D" w:rsidRDefault="00BA0F1D" w:rsidP="00BA0F1D">
      <w:pPr>
        <w:jc w:val="both"/>
      </w:pPr>
      <w:r>
        <w:t>In Rel-16, the feature developed in WI “</w:t>
      </w:r>
      <w:r w:rsidRPr="00AE3A2C">
        <w:t>NG_RAN_PRN-Core</w:t>
      </w:r>
      <w:r>
        <w:t>”(</w:t>
      </w:r>
      <w:hyperlink r:id="rId13"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04AD4157" w14:textId="77777777" w:rsidR="00BA0F1D" w:rsidRDefault="00BA0F1D" w:rsidP="00BA0F1D">
      <w:pPr>
        <w:jc w:val="both"/>
      </w:pPr>
      <w:r>
        <w:t>SNPN support was developed in NR, in parallel to the first release of NR MDT. When SNPN is used, the UE may not be connected to PLMN as such, but to another kind of service provider.</w:t>
      </w:r>
    </w:p>
    <w:p w14:paraId="05B055D0" w14:textId="13C79BB0" w:rsidR="00BA0F1D" w:rsidRDefault="00BA0F1D" w:rsidP="00BA0F1D">
      <w:pPr>
        <w:jc w:val="both"/>
      </w:pPr>
      <w:r>
        <w:t>For MDT, by default, the UE should provide the stored information only to the relevant Network. Due to co-existence of SNPN and regular PLMN, the UE behaviour on data collection in case selected PLMN-Identity becomes NPN_identity,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0F1D" w14:paraId="38508A74" w14:textId="77777777" w:rsidTr="00BA0F1D">
        <w:tc>
          <w:tcPr>
            <w:tcW w:w="5000" w:type="pct"/>
            <w:tcBorders>
              <w:top w:val="single" w:sz="4" w:space="0" w:color="auto"/>
              <w:left w:val="single" w:sz="4" w:space="0" w:color="auto"/>
              <w:bottom w:val="single" w:sz="4" w:space="0" w:color="auto"/>
              <w:right w:val="single" w:sz="4" w:space="0" w:color="auto"/>
            </w:tcBorders>
            <w:hideMark/>
          </w:tcPr>
          <w:p w14:paraId="58D8D0AC" w14:textId="77777777" w:rsidR="00BA0F1D" w:rsidRDefault="00BA0F1D" w:rsidP="00BA0F1D">
            <w:pPr>
              <w:pStyle w:val="TAL"/>
              <w:rPr>
                <w:b/>
                <w:i/>
                <w:szCs w:val="22"/>
                <w:lang w:val="sv-SE" w:eastAsia="sv-SE"/>
              </w:rPr>
            </w:pPr>
            <w:r>
              <w:rPr>
                <w:b/>
                <w:i/>
                <w:szCs w:val="22"/>
                <w:lang w:val="sv-SE" w:eastAsia="sv-SE"/>
              </w:rPr>
              <w:t>selectedPLMN-Identity</w:t>
            </w:r>
          </w:p>
          <w:p w14:paraId="10CA3499" w14:textId="77777777" w:rsidR="00BA0F1D" w:rsidRDefault="00BA0F1D" w:rsidP="00BA0F1D">
            <w:pPr>
              <w:pStyle w:val="TAL"/>
              <w:rPr>
                <w:szCs w:val="22"/>
                <w:lang w:val="sv-SE" w:eastAsia="sv-SE"/>
              </w:rPr>
            </w:pPr>
            <w:r>
              <w:rPr>
                <w:szCs w:val="22"/>
                <w:lang w:val="sv-SE" w:eastAsia="sv-SE"/>
              </w:rPr>
              <w:t xml:space="preserve">Index of the PLMN selected by the UE from the </w:t>
            </w:r>
            <w:r>
              <w:rPr>
                <w:i/>
                <w:szCs w:val="22"/>
                <w:lang w:val="sv-SE" w:eastAsia="sv-SE"/>
              </w:rPr>
              <w:t>plmn-IdentityList</w:t>
            </w:r>
            <w:r>
              <w:rPr>
                <w:szCs w:val="22"/>
                <w:lang w:val="sv-SE" w:eastAsia="sv-SE"/>
              </w:rPr>
              <w:t xml:space="preserve"> </w:t>
            </w:r>
            <w:r w:rsidRPr="00217985">
              <w:rPr>
                <w:szCs w:val="22"/>
                <w:highlight w:val="yellow"/>
              </w:rPr>
              <w:t>or</w:t>
            </w:r>
            <w:r>
              <w:rPr>
                <w:szCs w:val="22"/>
              </w:rPr>
              <w:t xml:space="preserve"> </w:t>
            </w:r>
            <w:r>
              <w:rPr>
                <w:i/>
                <w:iCs/>
                <w:szCs w:val="22"/>
              </w:rPr>
              <w:t>npn-IdentityInfoList</w:t>
            </w:r>
            <w:r>
              <w:rPr>
                <w:szCs w:val="22"/>
              </w:rPr>
              <w:t xml:space="preserve"> </w:t>
            </w:r>
            <w:r>
              <w:rPr>
                <w:szCs w:val="22"/>
                <w:lang w:val="sv-SE" w:eastAsia="sv-SE"/>
              </w:rPr>
              <w:t xml:space="preserve">fields included in </w:t>
            </w:r>
            <w:r>
              <w:rPr>
                <w:i/>
                <w:lang w:val="sv-SE" w:eastAsia="sv-SE"/>
              </w:rPr>
              <w:t>SIB1</w:t>
            </w:r>
            <w:r>
              <w:rPr>
                <w:szCs w:val="22"/>
                <w:lang w:val="sv-SE" w:eastAsia="sv-SE"/>
              </w:rPr>
              <w:t>.</w:t>
            </w:r>
          </w:p>
        </w:tc>
      </w:tr>
    </w:tbl>
    <w:p w14:paraId="04DC58D0" w14:textId="77777777" w:rsidR="00BA0F1D" w:rsidRDefault="00BA0F1D" w:rsidP="00BA0F1D">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1447E0C8" w14:textId="77777777" w:rsidR="00BA0F1D" w:rsidRPr="00217985" w:rsidRDefault="00BA0F1D" w:rsidP="00BA0F1D">
      <w:pPr>
        <w:rPr>
          <w:bCs/>
        </w:rPr>
      </w:pPr>
      <w:r w:rsidRPr="0096385E">
        <w:rPr>
          <w:b/>
        </w:rPr>
        <w:t xml:space="preserve">Observation </w:t>
      </w:r>
      <w:r>
        <w:rPr>
          <w:b/>
        </w:rPr>
        <w:t>3</w:t>
      </w:r>
      <w:r w:rsidRPr="0096385E">
        <w:rPr>
          <w:b/>
        </w:rPr>
        <w:t xml:space="preserve">: </w:t>
      </w:r>
      <w:r>
        <w:rPr>
          <w:bCs/>
        </w:rPr>
        <w:t xml:space="preserve">In </w:t>
      </w:r>
      <w:r>
        <w:t>deployments of SNPN and regular PLMN, l</w:t>
      </w:r>
      <w:r w:rsidRPr="00280BF6">
        <w:rPr>
          <w:bCs/>
        </w:rPr>
        <w:t>acking support of MDT PLMN check for SNPN lead</w:t>
      </w:r>
      <w:r>
        <w:rPr>
          <w:bCs/>
        </w:rPr>
        <w:t>s</w:t>
      </w:r>
      <w:r w:rsidRPr="00280BF6">
        <w:rPr>
          <w:bCs/>
        </w:rPr>
        <w:t xml:space="preserve"> to </w:t>
      </w:r>
      <w:r>
        <w:rPr>
          <w:bCs/>
        </w:rPr>
        <w:t xml:space="preserve">a </w:t>
      </w:r>
      <w:r w:rsidRPr="00280BF6">
        <w:rPr>
          <w:bCs/>
        </w:rPr>
        <w:t>failure scenario.</w:t>
      </w:r>
    </w:p>
    <w:p w14:paraId="24871B7F" w14:textId="77777777" w:rsidR="00BA0F1D" w:rsidRDefault="00BA0F1D" w:rsidP="00BA0F1D">
      <w:pPr>
        <w:jc w:val="both"/>
        <w:rPr>
          <w:b/>
          <w:bCs/>
        </w:rPr>
      </w:pPr>
      <w:r>
        <w:t xml:space="preserve">To avoid the failure scenarios for this mandatory feature, the Rel-17 UE should perform any </w:t>
      </w:r>
      <w:r w:rsidRPr="00B27785">
        <w:rPr>
          <w:i/>
          <w:iCs/>
        </w:rPr>
        <w:t xml:space="preserve">selectedPLMN-Identity </w:t>
      </w:r>
      <w:r>
        <w:t>check before reporting RLF report. For this purpose, the UE needs to support storage and maintenance of SNPN through the same procedural steps, that apply to re</w:t>
      </w:r>
      <w:r w:rsidRPr="00AF5363">
        <w:t>gular PLMN check in RLF reporting</w:t>
      </w:r>
      <w:r>
        <w:t>,</w:t>
      </w:r>
      <w:r w:rsidRPr="00AF5363">
        <w:t xml:space="preserve"> </w:t>
      </w:r>
      <w:r>
        <w:t>i</w:t>
      </w:r>
      <w:r w:rsidRPr="00AF5363">
        <w:t>.e.</w:t>
      </w:r>
      <w:r>
        <w:t>,</w:t>
      </w:r>
      <w:r w:rsidRPr="00AF5363">
        <w:t xml:space="preserve"> the UE should check the Registered SNPN the same way it checks the RPLMN.</w:t>
      </w:r>
      <w:r w:rsidRPr="00D0103C">
        <w:rPr>
          <w:b/>
          <w:bCs/>
        </w:rPr>
        <w:t xml:space="preserve"> </w:t>
      </w:r>
    </w:p>
    <w:p w14:paraId="6E368B82" w14:textId="77777777" w:rsidR="00BA0F1D" w:rsidRPr="00AF5363" w:rsidRDefault="00BA0F1D" w:rsidP="00BA0F1D">
      <w:pPr>
        <w:jc w:val="both"/>
      </w:pPr>
      <w:r w:rsidRPr="00AF5363">
        <w:t>For RLF</w:t>
      </w:r>
      <w:r>
        <w:t xml:space="preserve"> </w:t>
      </w:r>
      <w:r w:rsidRPr="00AF5363">
        <w:t>report this feature is more critical, but we believe the enhancement would also benefit Logged MDT, as it secures any logged report reporting to a right network.</w:t>
      </w:r>
    </w:p>
    <w:p w14:paraId="3D92F928" w14:textId="77777777" w:rsidR="00BA0F1D" w:rsidRDefault="00BA0F1D" w:rsidP="00BA0F1D">
      <w:pPr>
        <w:rPr>
          <w:b/>
        </w:rPr>
      </w:pPr>
      <w:r>
        <w:rPr>
          <w:b/>
          <w:bCs/>
        </w:rPr>
        <w:t>Proposal 1</w:t>
      </w:r>
      <w:r w:rsidRPr="00B27785">
        <w:rPr>
          <w:b/>
          <w:bCs/>
        </w:rPr>
        <w:t>:</w:t>
      </w:r>
      <w:r>
        <w:t xml:space="preserve"> </w:t>
      </w:r>
      <w:r w:rsidRPr="00A23503">
        <w:t>Rel-18 Logged MDT and RLF report supports SNPN check.</w:t>
      </w:r>
    </w:p>
    <w:p w14:paraId="4A6D41FB" w14:textId="77777777" w:rsidR="00BA0F1D" w:rsidRDefault="00BA0F1D" w:rsidP="00BA0F1D">
      <w:pPr>
        <w:pStyle w:val="Heading1"/>
      </w:pPr>
      <w:r>
        <w:t>4</w:t>
      </w:r>
      <w:r w:rsidRPr="006E13D1">
        <w:tab/>
      </w:r>
      <w:r>
        <w:t>SNPN impact to cell identification</w:t>
      </w:r>
    </w:p>
    <w:p w14:paraId="5C891AD7" w14:textId="77777777" w:rsidR="00BA0F1D" w:rsidRDefault="00BA0F1D" w:rsidP="00BA0F1D">
      <w:pPr>
        <w:pStyle w:val="Heading2"/>
      </w:pPr>
      <w:r>
        <w:t>4</w:t>
      </w:r>
      <w:r w:rsidRPr="006E13D1">
        <w:t>.</w:t>
      </w:r>
      <w:r>
        <w:t>1</w:t>
      </w:r>
      <w:r>
        <w:tab/>
        <w:t>SNPN presence in Cell Identity</w:t>
      </w:r>
    </w:p>
    <w:p w14:paraId="12D79016" w14:textId="77777777" w:rsidR="00BA0F1D" w:rsidRDefault="00BA0F1D" w:rsidP="00BA0F1D">
      <w:r>
        <w:t xml:space="preserve">The IE </w:t>
      </w:r>
      <w:r w:rsidRPr="00236247">
        <w:rPr>
          <w:i/>
          <w:iCs/>
        </w:rPr>
        <w:t>CGI-Info-Logging-r16</w:t>
      </w:r>
      <w:r>
        <w:t xml:space="preserve"> is used in several places for SON and MDT to identify the cell, where relevant SON or MDT event took place.</w:t>
      </w:r>
    </w:p>
    <w:p w14:paraId="72BF57A2" w14:textId="235AE4D5" w:rsidR="00BA0F1D" w:rsidRDefault="00BA0F1D" w:rsidP="00BA0F1D">
      <w:pPr>
        <w:jc w:val="both"/>
      </w:pPr>
      <w:r>
        <w:t>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w:t>
      </w:r>
      <w:r w:rsidR="009D52C1">
        <w:t xml:space="preserve"> ID</w:t>
      </w:r>
      <w:r>
        <w:t xml:space="preserve"> Information used for MDT and SON reports,  </w:t>
      </w:r>
      <w:r w:rsidR="00C959CF">
        <w:t xml:space="preserve">the IE CGI-Info-Logging </w:t>
      </w:r>
      <w:r>
        <w:t>will need to be enhanced to allow SNPN ID. Otherwise, we limit the implementation options to run SON and MDT features with the CGI-Info disallowing SNPN Cell identification:</w:t>
      </w:r>
    </w:p>
    <w:p w14:paraId="3191D22C"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CGI-Info-Logging-r16 ::=     SEQUENCE {</w:t>
      </w:r>
    </w:p>
    <w:p w14:paraId="4238A040"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plmn-Identity-r16                    PLMN-Identity,</w:t>
      </w:r>
    </w:p>
    <w:p w14:paraId="11688EEB"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cellIdentity-r16                     CellIdentity,</w:t>
      </w:r>
    </w:p>
    <w:p w14:paraId="733F94C6"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trackingAreaCode-r16                 TrackingAreaCode</w:t>
      </w:r>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t>OPTIONAL</w:t>
      </w:r>
    </w:p>
    <w:p w14:paraId="693B741A" w14:textId="77777777" w:rsidR="00BA0F1D" w:rsidRPr="00236247" w:rsidRDefault="00BA0F1D" w:rsidP="00BA0F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w:t>
      </w:r>
    </w:p>
    <w:p w14:paraId="28E1F32C" w14:textId="77777777" w:rsidR="00BA0F1D" w:rsidRDefault="00BA0F1D" w:rsidP="00BA0F1D"/>
    <w:p w14:paraId="7F3A9DC5" w14:textId="77777777" w:rsidR="00BA0F1D" w:rsidRDefault="00BA0F1D" w:rsidP="00BA0F1D">
      <w:pPr>
        <w:pStyle w:val="B1"/>
        <w:ind w:left="0" w:firstLine="0"/>
        <w:rPr>
          <w:b/>
        </w:rPr>
      </w:pPr>
      <w:r w:rsidRPr="00CD3EC6">
        <w:rPr>
          <w:b/>
        </w:rPr>
        <w:t>Proposal</w:t>
      </w:r>
      <w:r>
        <w:rPr>
          <w:b/>
        </w:rPr>
        <w:t xml:space="preserve"> 2</w:t>
      </w:r>
      <w:r w:rsidRPr="00CD3EC6">
        <w:rPr>
          <w:b/>
        </w:rPr>
        <w:t>:</w:t>
      </w:r>
      <w:r>
        <w:rPr>
          <w:b/>
        </w:rPr>
        <w:t xml:space="preserve"> </w:t>
      </w:r>
      <w:r w:rsidRPr="00217985">
        <w:rPr>
          <w:bCs/>
        </w:rPr>
        <w:t xml:space="preserve">MDT and SON </w:t>
      </w:r>
      <w:r>
        <w:rPr>
          <w:bCs/>
        </w:rPr>
        <w:t>reports</w:t>
      </w:r>
      <w:r w:rsidRPr="00217985">
        <w:rPr>
          <w:bCs/>
        </w:rPr>
        <w:t xml:space="preserve"> should </w:t>
      </w:r>
      <w:r>
        <w:rPr>
          <w:bCs/>
        </w:rPr>
        <w:t>enable</w:t>
      </w:r>
      <w:r w:rsidRPr="00217985">
        <w:rPr>
          <w:bCs/>
        </w:rPr>
        <w:t xml:space="preserve"> </w:t>
      </w:r>
      <w:r>
        <w:rPr>
          <w:bCs/>
        </w:rPr>
        <w:t>SNPN</w:t>
      </w:r>
      <w:r w:rsidRPr="00217985">
        <w:rPr>
          <w:bCs/>
        </w:rPr>
        <w:t xml:space="preserve"> Cell identification</w:t>
      </w:r>
      <w:r>
        <w:rPr>
          <w:bCs/>
        </w:rPr>
        <w:t>.</w:t>
      </w:r>
    </w:p>
    <w:p w14:paraId="06C39704" w14:textId="77777777" w:rsidR="00BA0F1D" w:rsidRPr="006E13D1" w:rsidRDefault="00BA0F1D" w:rsidP="00BA0F1D">
      <w:pPr>
        <w:pStyle w:val="Heading1"/>
      </w:pPr>
      <w:r>
        <w:t>5</w:t>
      </w:r>
      <w:r w:rsidRPr="006E13D1">
        <w:tab/>
      </w:r>
      <w:r>
        <w:t>Conclusion</w:t>
      </w:r>
    </w:p>
    <w:p w14:paraId="18851F17" w14:textId="77777777" w:rsidR="00BA0F1D" w:rsidRDefault="00BA0F1D" w:rsidP="00BA0F1D">
      <w:r>
        <w:t>In this contribution we made the following observations and proposals:</w:t>
      </w:r>
    </w:p>
    <w:p w14:paraId="46067665" w14:textId="77777777" w:rsidR="00BA0F1D" w:rsidRDefault="00BA0F1D" w:rsidP="00BA0F1D">
      <w:r w:rsidRPr="00217985">
        <w:rPr>
          <w:b/>
          <w:bCs/>
        </w:rPr>
        <w:t>Observation 1:</w:t>
      </w:r>
      <w:r w:rsidRPr="00217985">
        <w:t xml:space="preserve"> UE stores the PLMN associated with the collected MDT data.</w:t>
      </w:r>
    </w:p>
    <w:p w14:paraId="00F8CDA6" w14:textId="77777777" w:rsidR="00BA0F1D" w:rsidRPr="00217985" w:rsidRDefault="00BA0F1D" w:rsidP="00BA0F1D">
      <w:pPr>
        <w:rPr>
          <w:bCs/>
        </w:rPr>
      </w:pPr>
      <w:r w:rsidRPr="0096385E">
        <w:rPr>
          <w:b/>
        </w:rPr>
        <w:lastRenderedPageBreak/>
        <w:t xml:space="preserve">Observation </w:t>
      </w:r>
      <w:r>
        <w:rPr>
          <w:b/>
        </w:rPr>
        <w:t>2</w:t>
      </w:r>
      <w:r w:rsidRPr="0096385E">
        <w:rPr>
          <w:b/>
        </w:rPr>
        <w:t xml:space="preserve">: </w:t>
      </w:r>
      <w:r w:rsidRPr="006A4153">
        <w:rPr>
          <w:bCs/>
        </w:rPr>
        <w:t>The</w:t>
      </w:r>
      <w:r>
        <w:rPr>
          <w:b/>
        </w:rPr>
        <w:t xml:space="preserve"> </w:t>
      </w:r>
      <w:r w:rsidRPr="00280BF6">
        <w:rPr>
          <w:bCs/>
        </w:rPr>
        <w:t xml:space="preserve">UE </w:t>
      </w:r>
      <w:r>
        <w:rPr>
          <w:bCs/>
        </w:rPr>
        <w:t>performs the stored</w:t>
      </w:r>
      <w:r w:rsidRPr="00A23503">
        <w:rPr>
          <w:bCs/>
        </w:rPr>
        <w:t xml:space="preserve"> RPLMN </w:t>
      </w:r>
      <w:r>
        <w:rPr>
          <w:bCs/>
        </w:rPr>
        <w:t xml:space="preserve">check </w:t>
      </w:r>
      <w:r w:rsidRPr="00A23503">
        <w:rPr>
          <w:bCs/>
        </w:rPr>
        <w:t>when initiating sending the stored MDT data to avoid sending MDT data to wrong PLMN</w:t>
      </w:r>
      <w:r>
        <w:rPr>
          <w:bCs/>
        </w:rPr>
        <w:t xml:space="preserve"> (</w:t>
      </w:r>
      <w:r w:rsidRPr="00280BF6">
        <w:rPr>
          <w:bCs/>
        </w:rPr>
        <w:t>mandatorily</w:t>
      </w:r>
      <w:r>
        <w:rPr>
          <w:bCs/>
        </w:rPr>
        <w:t xml:space="preserve"> for RLFreport).</w:t>
      </w:r>
    </w:p>
    <w:p w14:paraId="63F5FB52" w14:textId="77777777" w:rsidR="00BA0F1D" w:rsidRDefault="00BA0F1D" w:rsidP="00BA0F1D">
      <w:pPr>
        <w:rPr>
          <w:bCs/>
        </w:rPr>
      </w:pPr>
      <w:r w:rsidRPr="0096385E">
        <w:rPr>
          <w:b/>
        </w:rPr>
        <w:t xml:space="preserve">Observation </w:t>
      </w:r>
      <w:r>
        <w:rPr>
          <w:b/>
        </w:rPr>
        <w:t>3</w:t>
      </w:r>
      <w:r w:rsidRPr="0096385E">
        <w:rPr>
          <w:b/>
        </w:rPr>
        <w:t xml:space="preserve">: </w:t>
      </w:r>
      <w:r>
        <w:rPr>
          <w:bCs/>
        </w:rPr>
        <w:t xml:space="preserve">In </w:t>
      </w:r>
      <w:r>
        <w:t>deployments of SNPN and regular PLMN, l</w:t>
      </w:r>
      <w:r w:rsidRPr="00280BF6">
        <w:rPr>
          <w:bCs/>
        </w:rPr>
        <w:t>acking support of MDT PLMN check for SNPN lead</w:t>
      </w:r>
      <w:r>
        <w:rPr>
          <w:bCs/>
        </w:rPr>
        <w:t>s</w:t>
      </w:r>
      <w:r w:rsidRPr="00280BF6">
        <w:rPr>
          <w:bCs/>
        </w:rPr>
        <w:t xml:space="preserve"> to </w:t>
      </w:r>
      <w:r>
        <w:rPr>
          <w:bCs/>
        </w:rPr>
        <w:t xml:space="preserve">a </w:t>
      </w:r>
      <w:r w:rsidRPr="00280BF6">
        <w:rPr>
          <w:bCs/>
        </w:rPr>
        <w:t>failure scenario.</w:t>
      </w:r>
    </w:p>
    <w:p w14:paraId="6EB76476" w14:textId="77777777" w:rsidR="00BA0F1D" w:rsidRDefault="00BA0F1D" w:rsidP="00BA0F1D">
      <w:pPr>
        <w:rPr>
          <w:b/>
        </w:rPr>
      </w:pPr>
      <w:r>
        <w:rPr>
          <w:b/>
          <w:bCs/>
        </w:rPr>
        <w:t>Proposal 1</w:t>
      </w:r>
      <w:r w:rsidRPr="00B27785">
        <w:rPr>
          <w:b/>
          <w:bCs/>
        </w:rPr>
        <w:t>:</w:t>
      </w:r>
      <w:r>
        <w:t xml:space="preserve"> </w:t>
      </w:r>
      <w:r w:rsidRPr="00A23503">
        <w:t>Rel-18 Logged MDT and RLF report supports SNPN check.</w:t>
      </w:r>
    </w:p>
    <w:p w14:paraId="0C95E8D9" w14:textId="77777777" w:rsidR="00BA0F1D" w:rsidRPr="006E13D1" w:rsidRDefault="00BA0F1D" w:rsidP="00BA0F1D">
      <w:pPr>
        <w:pStyle w:val="B1"/>
        <w:ind w:left="0" w:firstLine="0"/>
      </w:pPr>
      <w:r w:rsidRPr="00CD3EC6">
        <w:rPr>
          <w:b/>
        </w:rPr>
        <w:t>Proposal</w:t>
      </w:r>
      <w:r>
        <w:rPr>
          <w:b/>
        </w:rPr>
        <w:t xml:space="preserve"> 2</w:t>
      </w:r>
      <w:r w:rsidRPr="00CD3EC6">
        <w:rPr>
          <w:b/>
        </w:rPr>
        <w:t>:</w:t>
      </w:r>
      <w:r>
        <w:rPr>
          <w:b/>
        </w:rPr>
        <w:t xml:space="preserve"> </w:t>
      </w:r>
      <w:r w:rsidRPr="00217985">
        <w:rPr>
          <w:bCs/>
        </w:rPr>
        <w:t xml:space="preserve">MDT and SON </w:t>
      </w:r>
      <w:r>
        <w:rPr>
          <w:bCs/>
        </w:rPr>
        <w:t>reports</w:t>
      </w:r>
      <w:r w:rsidRPr="00217985">
        <w:rPr>
          <w:bCs/>
        </w:rPr>
        <w:t xml:space="preserve"> should </w:t>
      </w:r>
      <w:r>
        <w:rPr>
          <w:bCs/>
        </w:rPr>
        <w:t>enable</w:t>
      </w:r>
      <w:r w:rsidRPr="00217985">
        <w:rPr>
          <w:bCs/>
        </w:rPr>
        <w:t xml:space="preserve"> </w:t>
      </w:r>
      <w:r>
        <w:rPr>
          <w:bCs/>
        </w:rPr>
        <w:t>SNPN</w:t>
      </w:r>
      <w:r w:rsidRPr="00217985">
        <w:rPr>
          <w:bCs/>
        </w:rPr>
        <w:t xml:space="preserve"> Cell identification</w:t>
      </w:r>
      <w:r>
        <w:rPr>
          <w:bCs/>
        </w:rPr>
        <w:t>.</w:t>
      </w:r>
    </w:p>
    <w:p w14:paraId="6C60FFDC" w14:textId="4BC4D346" w:rsidR="00A209D6" w:rsidRPr="00BA0F1D" w:rsidRDefault="00A209D6" w:rsidP="00BA0F1D"/>
    <w:sectPr w:rsidR="00A209D6" w:rsidRPr="00BA0F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7A1D" w14:textId="77777777" w:rsidR="00065614" w:rsidRDefault="00065614">
      <w:r>
        <w:separator/>
      </w:r>
    </w:p>
  </w:endnote>
  <w:endnote w:type="continuationSeparator" w:id="0">
    <w:p w14:paraId="02B1D274" w14:textId="77777777" w:rsidR="00065614" w:rsidRDefault="00065614">
      <w:r>
        <w:continuationSeparator/>
      </w:r>
    </w:p>
  </w:endnote>
  <w:endnote w:type="continuationNotice" w:id="1">
    <w:p w14:paraId="7EA74FC7" w14:textId="77777777" w:rsidR="00065614" w:rsidRDefault="00065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754B" w14:textId="77777777" w:rsidR="00065614" w:rsidRDefault="00065614">
      <w:r>
        <w:separator/>
      </w:r>
    </w:p>
  </w:footnote>
  <w:footnote w:type="continuationSeparator" w:id="0">
    <w:p w14:paraId="14CD72C0" w14:textId="77777777" w:rsidR="00065614" w:rsidRDefault="00065614">
      <w:r>
        <w:continuationSeparator/>
      </w:r>
    </w:p>
  </w:footnote>
  <w:footnote w:type="continuationNotice" w:id="1">
    <w:p w14:paraId="317DFAC7" w14:textId="77777777" w:rsidR="00065614" w:rsidRDefault="00065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3C40"/>
    <w:rsid w:val="00026AB7"/>
    <w:rsid w:val="00033397"/>
    <w:rsid w:val="00034181"/>
    <w:rsid w:val="00040095"/>
    <w:rsid w:val="00065614"/>
    <w:rsid w:val="00073C9C"/>
    <w:rsid w:val="00080512"/>
    <w:rsid w:val="00090468"/>
    <w:rsid w:val="00090577"/>
    <w:rsid w:val="00091B4A"/>
    <w:rsid w:val="00094568"/>
    <w:rsid w:val="000B0F07"/>
    <w:rsid w:val="000B229E"/>
    <w:rsid w:val="000B7BCF"/>
    <w:rsid w:val="000C522B"/>
    <w:rsid w:val="000C6B12"/>
    <w:rsid w:val="000D58AB"/>
    <w:rsid w:val="00112F1A"/>
    <w:rsid w:val="00143E9B"/>
    <w:rsid w:val="00145075"/>
    <w:rsid w:val="001548CC"/>
    <w:rsid w:val="001741A0"/>
    <w:rsid w:val="00175FA0"/>
    <w:rsid w:val="00186381"/>
    <w:rsid w:val="00194CD0"/>
    <w:rsid w:val="001A5A62"/>
    <w:rsid w:val="001B2DA0"/>
    <w:rsid w:val="001B49C9"/>
    <w:rsid w:val="001C099C"/>
    <w:rsid w:val="001C23F4"/>
    <w:rsid w:val="001C4F79"/>
    <w:rsid w:val="001F168B"/>
    <w:rsid w:val="001F20D2"/>
    <w:rsid w:val="001F7831"/>
    <w:rsid w:val="0020093B"/>
    <w:rsid w:val="00204045"/>
    <w:rsid w:val="0020712B"/>
    <w:rsid w:val="00217985"/>
    <w:rsid w:val="00225607"/>
    <w:rsid w:val="0022606D"/>
    <w:rsid w:val="00230FAA"/>
    <w:rsid w:val="00231728"/>
    <w:rsid w:val="00236247"/>
    <w:rsid w:val="00250404"/>
    <w:rsid w:val="002610D8"/>
    <w:rsid w:val="00261587"/>
    <w:rsid w:val="00263893"/>
    <w:rsid w:val="00265AFA"/>
    <w:rsid w:val="002737E9"/>
    <w:rsid w:val="002747EC"/>
    <w:rsid w:val="002759C1"/>
    <w:rsid w:val="002855BF"/>
    <w:rsid w:val="002871CA"/>
    <w:rsid w:val="00295AC3"/>
    <w:rsid w:val="002A1E41"/>
    <w:rsid w:val="002A7BD2"/>
    <w:rsid w:val="002C312D"/>
    <w:rsid w:val="002D3288"/>
    <w:rsid w:val="002F0D22"/>
    <w:rsid w:val="003172DC"/>
    <w:rsid w:val="00325AE3"/>
    <w:rsid w:val="00326069"/>
    <w:rsid w:val="00334CD8"/>
    <w:rsid w:val="0035462D"/>
    <w:rsid w:val="00354794"/>
    <w:rsid w:val="00364B41"/>
    <w:rsid w:val="00383096"/>
    <w:rsid w:val="003A41EF"/>
    <w:rsid w:val="003B40AD"/>
    <w:rsid w:val="003C4E37"/>
    <w:rsid w:val="003D36F4"/>
    <w:rsid w:val="003E16BE"/>
    <w:rsid w:val="003F4E28"/>
    <w:rsid w:val="004006E8"/>
    <w:rsid w:val="00401855"/>
    <w:rsid w:val="00407E8E"/>
    <w:rsid w:val="0042667D"/>
    <w:rsid w:val="00456754"/>
    <w:rsid w:val="00465587"/>
    <w:rsid w:val="00465732"/>
    <w:rsid w:val="00477455"/>
    <w:rsid w:val="00490EE6"/>
    <w:rsid w:val="00494698"/>
    <w:rsid w:val="004A1F7B"/>
    <w:rsid w:val="004C44D2"/>
    <w:rsid w:val="004D3578"/>
    <w:rsid w:val="004D380D"/>
    <w:rsid w:val="004E1F1A"/>
    <w:rsid w:val="004E213A"/>
    <w:rsid w:val="00503171"/>
    <w:rsid w:val="00506C28"/>
    <w:rsid w:val="00515B4E"/>
    <w:rsid w:val="00526287"/>
    <w:rsid w:val="00534DA0"/>
    <w:rsid w:val="00542FC8"/>
    <w:rsid w:val="00543E6C"/>
    <w:rsid w:val="00565087"/>
    <w:rsid w:val="0056573F"/>
    <w:rsid w:val="00565CE6"/>
    <w:rsid w:val="005706AB"/>
    <w:rsid w:val="00571927"/>
    <w:rsid w:val="00593379"/>
    <w:rsid w:val="005C4BD4"/>
    <w:rsid w:val="005F49D7"/>
    <w:rsid w:val="006001A7"/>
    <w:rsid w:val="006051F2"/>
    <w:rsid w:val="00605C57"/>
    <w:rsid w:val="00611566"/>
    <w:rsid w:val="00634A90"/>
    <w:rsid w:val="00646D4E"/>
    <w:rsid w:val="00646D99"/>
    <w:rsid w:val="00653892"/>
    <w:rsid w:val="00656910"/>
    <w:rsid w:val="00670561"/>
    <w:rsid w:val="00673A00"/>
    <w:rsid w:val="00687E7B"/>
    <w:rsid w:val="006A4153"/>
    <w:rsid w:val="006C3754"/>
    <w:rsid w:val="006C66D8"/>
    <w:rsid w:val="006D1E24"/>
    <w:rsid w:val="006E1417"/>
    <w:rsid w:val="006F6A2C"/>
    <w:rsid w:val="007003C9"/>
    <w:rsid w:val="00701733"/>
    <w:rsid w:val="007069DC"/>
    <w:rsid w:val="00710201"/>
    <w:rsid w:val="0072073A"/>
    <w:rsid w:val="00723D6B"/>
    <w:rsid w:val="007342B5"/>
    <w:rsid w:val="00734A5B"/>
    <w:rsid w:val="00744E76"/>
    <w:rsid w:val="00757D40"/>
    <w:rsid w:val="007615CD"/>
    <w:rsid w:val="00761E24"/>
    <w:rsid w:val="00781F0F"/>
    <w:rsid w:val="007863A9"/>
    <w:rsid w:val="0078727C"/>
    <w:rsid w:val="0079049D"/>
    <w:rsid w:val="00793000"/>
    <w:rsid w:val="00793DC5"/>
    <w:rsid w:val="00797DDD"/>
    <w:rsid w:val="007B18D8"/>
    <w:rsid w:val="007B43CA"/>
    <w:rsid w:val="007B745D"/>
    <w:rsid w:val="007C095F"/>
    <w:rsid w:val="007C2DD0"/>
    <w:rsid w:val="007C5477"/>
    <w:rsid w:val="007E4752"/>
    <w:rsid w:val="007F2E08"/>
    <w:rsid w:val="007F3171"/>
    <w:rsid w:val="008028A4"/>
    <w:rsid w:val="0080552F"/>
    <w:rsid w:val="0081198E"/>
    <w:rsid w:val="00812B2C"/>
    <w:rsid w:val="00813245"/>
    <w:rsid w:val="00824D5E"/>
    <w:rsid w:val="00842813"/>
    <w:rsid w:val="00854750"/>
    <w:rsid w:val="0086354A"/>
    <w:rsid w:val="008768CA"/>
    <w:rsid w:val="00877EF9"/>
    <w:rsid w:val="00880559"/>
    <w:rsid w:val="008830C5"/>
    <w:rsid w:val="008A15C4"/>
    <w:rsid w:val="008A1F58"/>
    <w:rsid w:val="008B32B7"/>
    <w:rsid w:val="008B5306"/>
    <w:rsid w:val="008C3057"/>
    <w:rsid w:val="008D2E4D"/>
    <w:rsid w:val="008F396F"/>
    <w:rsid w:val="0090271F"/>
    <w:rsid w:val="00902DB9"/>
    <w:rsid w:val="0090466A"/>
    <w:rsid w:val="009055F9"/>
    <w:rsid w:val="009117B4"/>
    <w:rsid w:val="00920938"/>
    <w:rsid w:val="00923655"/>
    <w:rsid w:val="00936071"/>
    <w:rsid w:val="00940212"/>
    <w:rsid w:val="00941DBB"/>
    <w:rsid w:val="00942EC2"/>
    <w:rsid w:val="00952858"/>
    <w:rsid w:val="00961B32"/>
    <w:rsid w:val="00962509"/>
    <w:rsid w:val="0096385E"/>
    <w:rsid w:val="00970DB3"/>
    <w:rsid w:val="009736F6"/>
    <w:rsid w:val="00974BB0"/>
    <w:rsid w:val="0097595D"/>
    <w:rsid w:val="00975BCD"/>
    <w:rsid w:val="00984356"/>
    <w:rsid w:val="009A0AF3"/>
    <w:rsid w:val="009B07CD"/>
    <w:rsid w:val="009C19E9"/>
    <w:rsid w:val="009D52C1"/>
    <w:rsid w:val="009D7202"/>
    <w:rsid w:val="009D74A6"/>
    <w:rsid w:val="00A10F02"/>
    <w:rsid w:val="00A204CA"/>
    <w:rsid w:val="00A209D6"/>
    <w:rsid w:val="00A23503"/>
    <w:rsid w:val="00A27ABB"/>
    <w:rsid w:val="00A53724"/>
    <w:rsid w:val="00A54B2B"/>
    <w:rsid w:val="00A565C1"/>
    <w:rsid w:val="00A663D4"/>
    <w:rsid w:val="00A677B3"/>
    <w:rsid w:val="00A67812"/>
    <w:rsid w:val="00A75458"/>
    <w:rsid w:val="00A82346"/>
    <w:rsid w:val="00A84AC5"/>
    <w:rsid w:val="00A9463D"/>
    <w:rsid w:val="00A9671C"/>
    <w:rsid w:val="00AA0352"/>
    <w:rsid w:val="00AA1553"/>
    <w:rsid w:val="00AA69D7"/>
    <w:rsid w:val="00AB15A0"/>
    <w:rsid w:val="00AB3C67"/>
    <w:rsid w:val="00AC17AD"/>
    <w:rsid w:val="00AC3902"/>
    <w:rsid w:val="00AE4E4C"/>
    <w:rsid w:val="00AE5CE5"/>
    <w:rsid w:val="00AF260F"/>
    <w:rsid w:val="00B019B0"/>
    <w:rsid w:val="00B05380"/>
    <w:rsid w:val="00B05962"/>
    <w:rsid w:val="00B15449"/>
    <w:rsid w:val="00B16C2F"/>
    <w:rsid w:val="00B17BC0"/>
    <w:rsid w:val="00B2050F"/>
    <w:rsid w:val="00B27303"/>
    <w:rsid w:val="00B3673B"/>
    <w:rsid w:val="00B41AF4"/>
    <w:rsid w:val="00B47FD1"/>
    <w:rsid w:val="00B516BB"/>
    <w:rsid w:val="00B51AA2"/>
    <w:rsid w:val="00B73469"/>
    <w:rsid w:val="00B84DB2"/>
    <w:rsid w:val="00BA0DE0"/>
    <w:rsid w:val="00BA0F1D"/>
    <w:rsid w:val="00BA22AE"/>
    <w:rsid w:val="00BB34EA"/>
    <w:rsid w:val="00BC3555"/>
    <w:rsid w:val="00BD47B8"/>
    <w:rsid w:val="00BE0DDF"/>
    <w:rsid w:val="00BE47E3"/>
    <w:rsid w:val="00C12B51"/>
    <w:rsid w:val="00C16D84"/>
    <w:rsid w:val="00C24650"/>
    <w:rsid w:val="00C25465"/>
    <w:rsid w:val="00C33079"/>
    <w:rsid w:val="00C535EF"/>
    <w:rsid w:val="00C6161D"/>
    <w:rsid w:val="00C67F92"/>
    <w:rsid w:val="00C83A13"/>
    <w:rsid w:val="00C83CD8"/>
    <w:rsid w:val="00C9068C"/>
    <w:rsid w:val="00C92967"/>
    <w:rsid w:val="00C959CF"/>
    <w:rsid w:val="00CA3D0C"/>
    <w:rsid w:val="00CA4AA5"/>
    <w:rsid w:val="00CA654B"/>
    <w:rsid w:val="00CB27F7"/>
    <w:rsid w:val="00CB33E7"/>
    <w:rsid w:val="00CB72B8"/>
    <w:rsid w:val="00CB7B48"/>
    <w:rsid w:val="00CD14FF"/>
    <w:rsid w:val="00CD3EC6"/>
    <w:rsid w:val="00CD4C7B"/>
    <w:rsid w:val="00CE4D31"/>
    <w:rsid w:val="00CF1DC7"/>
    <w:rsid w:val="00CF4674"/>
    <w:rsid w:val="00CF795B"/>
    <w:rsid w:val="00D33BE3"/>
    <w:rsid w:val="00D33F18"/>
    <w:rsid w:val="00D3792D"/>
    <w:rsid w:val="00D40B6C"/>
    <w:rsid w:val="00D55538"/>
    <w:rsid w:val="00D55792"/>
    <w:rsid w:val="00D55E47"/>
    <w:rsid w:val="00D56CBB"/>
    <w:rsid w:val="00D62E19"/>
    <w:rsid w:val="00D67CD1"/>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7581"/>
    <w:rsid w:val="00DE25D2"/>
    <w:rsid w:val="00E46C08"/>
    <w:rsid w:val="00E471CF"/>
    <w:rsid w:val="00E57FB3"/>
    <w:rsid w:val="00E625FE"/>
    <w:rsid w:val="00E62835"/>
    <w:rsid w:val="00E77645"/>
    <w:rsid w:val="00E83697"/>
    <w:rsid w:val="00E915F0"/>
    <w:rsid w:val="00E951E1"/>
    <w:rsid w:val="00EA66C9"/>
    <w:rsid w:val="00EC4A25"/>
    <w:rsid w:val="00ED3043"/>
    <w:rsid w:val="00EF47CF"/>
    <w:rsid w:val="00F025A2"/>
    <w:rsid w:val="00F036E9"/>
    <w:rsid w:val="00F07388"/>
    <w:rsid w:val="00F07462"/>
    <w:rsid w:val="00F15406"/>
    <w:rsid w:val="00F2026E"/>
    <w:rsid w:val="00F2210A"/>
    <w:rsid w:val="00F30368"/>
    <w:rsid w:val="00F37743"/>
    <w:rsid w:val="00F43823"/>
    <w:rsid w:val="00F54A3D"/>
    <w:rsid w:val="00F54CB0"/>
    <w:rsid w:val="00F579CD"/>
    <w:rsid w:val="00F653B8"/>
    <w:rsid w:val="00F71B89"/>
    <w:rsid w:val="00F7353C"/>
    <w:rsid w:val="00F76F8F"/>
    <w:rsid w:val="00F8354F"/>
    <w:rsid w:val="00F941DF"/>
    <w:rsid w:val="00F953AF"/>
    <w:rsid w:val="00FA1266"/>
    <w:rsid w:val="00FA14DB"/>
    <w:rsid w:val="00FA710F"/>
    <w:rsid w:val="00FB36FA"/>
    <w:rsid w:val="00FC1192"/>
    <w:rsid w:val="00FD737C"/>
    <w:rsid w:val="00FE251B"/>
    <w:rsid w:val="00FF0427"/>
    <w:rsid w:val="184A2217"/>
    <w:rsid w:val="1D160B56"/>
    <w:rsid w:val="2130660A"/>
    <w:rsid w:val="23634B54"/>
    <w:rsid w:val="27BF8685"/>
    <w:rsid w:val="2C1896C2"/>
    <w:rsid w:val="2FF05867"/>
    <w:rsid w:val="331FC940"/>
    <w:rsid w:val="38FCE696"/>
    <w:rsid w:val="5671DF47"/>
    <w:rsid w:val="61E060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65C65861-422A-4D13-B18F-B0CF93E6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basedOn w:val="Normal"/>
    <w:uiPriority w:val="99"/>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character" w:customStyle="1" w:styleId="TALCar">
    <w:name w:val="TAL Car"/>
    <w:link w:val="TAL"/>
    <w:qFormat/>
    <w:rsid w:val="00E57FB3"/>
    <w:rPr>
      <w:rFonts w:ascii="Arial" w:hAnsi="Arial"/>
      <w:sz w:val="18"/>
      <w:lang w:eastAsia="en-US"/>
    </w:rPr>
  </w:style>
  <w:style w:type="paragraph" w:customStyle="1" w:styleId="paragraph">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customStyle="1" w:styleId="B1Zchn">
    <w:name w:val="B1 Zchn"/>
    <w:locked/>
    <w:rsid w:val="00A23503"/>
    <w:rPr>
      <w:lang w:eastAsia="en-US"/>
    </w:rPr>
  </w:style>
  <w:style w:type="character" w:customStyle="1" w:styleId="tabchar">
    <w:name w:val="tabchar"/>
    <w:basedOn w:val="DefaultParagraphFont"/>
    <w:rsid w:val="008A1F58"/>
  </w:style>
  <w:style w:type="character" w:customStyle="1" w:styleId="normaltextrun">
    <w:name w:val="normaltextrun"/>
    <w:basedOn w:val="DefaultParagraphFont"/>
    <w:rsid w:val="008A1F58"/>
  </w:style>
  <w:style w:type="character" w:customStyle="1" w:styleId="eop">
    <w:name w:val="eop"/>
    <w:basedOn w:val="DefaultParagraphFont"/>
    <w:rsid w:val="008A1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8586617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429158867">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637686870">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TSGR/TSGR_84/docs/RP-191563.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5e/Docs/RP-22182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5AIRPNAIUNRU-490051479-4620</_dlc_DocId>
    <_dlc_DocIdUrl xmlns="71c5aaf6-e6ce-465b-b873-5148d2a4c105">
      <Url>https://nokia.sharepoint.com/sites/c5g/projects/FAAS/_layouts/15/DocIdRedir.aspx?ID=5AIRPNAIUNRU-490051479-4620</Url>
      <Description>5AIRPNAIUNRU-490051479-4620</Description>
    </_dlc_DocIdUrl>
    <Document_x0020_category xmlns="3b34c8f0-1ef5-4d1e-bb66-517ce7fe7356" xsi:nil="true"/>
    <_Flow_SignoffStatus xmlns="bd98b143-97af-43fb-a8de-63b93b94404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BBEE7BE-3EF4-4C08-88D5-0D47B8900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http://schemas.microsoft.com/office/2006/metadata/properties"/>
    <ds:schemaRef ds:uri="bd98b143-97af-43fb-a8de-63b93b944041"/>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892</Words>
  <Characters>5091</Characters>
  <Application>Microsoft Office Word</Application>
  <DocSecurity>0</DocSecurity>
  <Lines>42</Lines>
  <Paragraphs>11</Paragraphs>
  <ScaleCrop>false</ScaleCrop>
  <Company>Nokia Siemens Networks</Company>
  <LinksUpToDate>false</LinksUpToDate>
  <CharactersWithSpaces>5972</CharactersWithSpaces>
  <SharedDoc>false</SharedDoc>
  <HyperlinkBase/>
  <HLinks>
    <vt:vector size="12" baseType="variant">
      <vt:variant>
        <vt:i4>3997699</vt:i4>
      </vt:variant>
      <vt:variant>
        <vt:i4>3</vt:i4>
      </vt:variant>
      <vt:variant>
        <vt:i4>0</vt:i4>
      </vt:variant>
      <vt:variant>
        <vt:i4>5</vt:i4>
      </vt:variant>
      <vt:variant>
        <vt:lpwstr>C:\Data\3GPP\TSGR\TSGR_84\docs\RP-191563.zip</vt:lpwstr>
      </vt:variant>
      <vt:variant>
        <vt:lpwstr/>
      </vt:variant>
      <vt:variant>
        <vt:i4>6357080</vt:i4>
      </vt:variant>
      <vt:variant>
        <vt:i4>0</vt:i4>
      </vt:variant>
      <vt:variant>
        <vt:i4>0</vt:i4>
      </vt:variant>
      <vt:variant>
        <vt:i4>5</vt:i4>
      </vt:variant>
      <vt:variant>
        <vt:lpwstr>https://www.3gpp.org/ftp/TSG_RAN/TSG_RAN/TSGR_95e/Docs/RP-221825.zip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Tomala, Malgorzata (Nokia - PL/Wroclaw)</cp:lastModifiedBy>
  <cp:revision>2</cp:revision>
  <dcterms:created xsi:type="dcterms:W3CDTF">2022-08-10T07:45:00Z</dcterms:created>
  <dcterms:modified xsi:type="dcterms:W3CDTF">2022-08-10T07:45:00Z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a141bc31-4817-4015-a373-ca9439825143</vt:lpwstr>
  </property>
</Properties>
</file>